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Antonia Gardiner</w:t>
      </w:r>
    </w:p>
    <w:p w:rsid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75A33">
          <w:rPr>
            <w:rStyle w:val="Hyperlink"/>
            <w:rFonts w:ascii="Times New Roman" w:hAnsi="Times New Roman" w:cs="Times New Roman"/>
            <w:sz w:val="24"/>
            <w:szCs w:val="24"/>
          </w:rPr>
          <w:t>antonia.noel@live.com</w:t>
        </w:r>
      </w:hyperlink>
    </w:p>
    <w:p w:rsid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75A33">
          <w:rPr>
            <w:rStyle w:val="Hyperlink"/>
            <w:rFonts w:ascii="Times New Roman" w:hAnsi="Times New Roman" w:cs="Times New Roman"/>
            <w:sz w:val="24"/>
            <w:szCs w:val="24"/>
          </w:rPr>
          <w:t>https://resumes.indeed.com/resume/ecb1f961d9d39ceb</w:t>
        </w:r>
      </w:hyperlink>
    </w:p>
    <w:p w:rsid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11/11/2019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BSN, RN, EMT with four years experience in the medical field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Bellingham, WA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One-year full time Registered Nurse experience; 10 weeks ER RN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experience in a Level II Trauma Center.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• Three years' acute care experience in Emergency Medical Services (EMS).</w:t>
      </w:r>
      <w:proofErr w:type="gramEnd"/>
      <w:r w:rsidRPr="00D2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• Over 140 hours of volunteer experience in healthcare and related fields.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Authorized to work in the US for any employer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Work Experience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Registered Nurse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St. Francis of Bellingham Healthcare &amp; Rehab Services - Bellingham, WA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December 2018 to Present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Provide direct nursing care for 18 - 25 sub-acute rehabilitation patients and residents, particularly related to orthopedics, stroke, and cardiac rehabilitation.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Monitor at-risk patients for complications requiring a higher level of care.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Provide leadership to nursing assistive personnel through delegation and supervision.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Nurse preceptor for on-boarding Registered Nurses and Licensed Practical Nurses.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Prepare and administer medications and perform skilled nursing procedures including but not limited to aseptic wound care with or without wound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vacs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and dressing changes, treatment of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decubitus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ulcers, insertion and irrigation of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suprapubic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catheters, suctioning techniques,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enteral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feedings</w:t>
      </w:r>
      <w:proofErr w:type="gramEnd"/>
      <w:r w:rsidRPr="00D223AA">
        <w:rPr>
          <w:rFonts w:ascii="Times New Roman" w:hAnsi="Times New Roman" w:cs="Times New Roman"/>
          <w:sz w:val="24"/>
          <w:szCs w:val="24"/>
        </w:rPr>
        <w:t xml:space="preserve">, administration of IV antibiotics, use of subcutaneous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infusion pumps during end-of-life care, and more.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Registered Nurse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Desert Regional Medical Center - Palm Springs, CA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March 2018 to June 2018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Oriented in Emergency Department policies, procedures, and Emergency Severity Index.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Responsible for 3-4 patients under the guidance of a Registered Nurse preceptor.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Use of the nursing process in the triage, assessment, and intervention of disabilities.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Medication administration and utilization of procedural skills for necessary interventions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including</w:t>
      </w:r>
      <w:proofErr w:type="gramEnd"/>
      <w:r w:rsidRPr="00D223AA">
        <w:rPr>
          <w:rFonts w:ascii="Times New Roman" w:hAnsi="Times New Roman" w:cs="Times New Roman"/>
          <w:sz w:val="24"/>
          <w:szCs w:val="24"/>
        </w:rPr>
        <w:t xml:space="preserve"> but not limited to: peripheral IV insertion,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catheter insertion, EKG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preparation</w:t>
      </w:r>
      <w:proofErr w:type="gramEnd"/>
      <w:r w:rsidRPr="00D223AA">
        <w:rPr>
          <w:rFonts w:ascii="Times New Roman" w:hAnsi="Times New Roman" w:cs="Times New Roman"/>
          <w:sz w:val="24"/>
          <w:szCs w:val="24"/>
        </w:rPr>
        <w:t xml:space="preserve"> and interpretation, chemical and electrical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cardioversion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, conscious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sedation</w:t>
      </w:r>
      <w:proofErr w:type="gramEnd"/>
      <w:r w:rsidRPr="00D223AA">
        <w:rPr>
          <w:rFonts w:ascii="Times New Roman" w:hAnsi="Times New Roman" w:cs="Times New Roman"/>
          <w:sz w:val="24"/>
          <w:szCs w:val="24"/>
        </w:rPr>
        <w:t xml:space="preserve">, cardiopulmonary resuscitation, sepsis protocol, diabetic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ketoacidosis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protocol, TPA infusion, administration of blood products with and without rapid transfusion, trauma emergencies, psychiatric emergencies, and more.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American Medical Response - Palm Springs, CA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April 2016 to June 2018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Assist Paramedic with focused assessment and intervention of critical and acutely ill patients.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Performance of CPR, positive pressure ventilation, administration of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 reversal agents, transport of acutely ill and vented patients, psychiatric emergencies, and dialysis patients.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lastRenderedPageBreak/>
        <w:t xml:space="preserve">• Safe and lawful code-3 and code-2 ground transport.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• Triage and care of clients in high-volume events including the Coachella Valley Music and Arts Festival (2016 - 2018), Stagecoach Music Festival (2016 &amp; 2017), and Desert Trip Music Festival (2016).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Wilderness Park Aide/Emergency Medical Responder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California State Parks, Mount - San Jacinto, CA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July 2015 to April 2016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Emergency medical response and intervention for medical and trauma events within the park including but not limited to hypo- and hyperthermia, strokes, cardiac events,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accidental</w:t>
      </w:r>
      <w:proofErr w:type="gramEnd"/>
      <w:r w:rsidRPr="00D223AA">
        <w:rPr>
          <w:rFonts w:ascii="Times New Roman" w:hAnsi="Times New Roman" w:cs="Times New Roman"/>
          <w:sz w:val="24"/>
          <w:szCs w:val="24"/>
        </w:rPr>
        <w:t xml:space="preserve"> falls, head trauma, fractures, etc.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Educated visitors about safety and wilderness survival.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Weekly skills training related to search and rescue, emergency medical response, wilderness survival, rescue rappelling, helicopter rappelling, &amp; navigation.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• Maintained trails, stations, and wilderness for the protection and preservation of the park.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Education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Bachelor of Science in Nursing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California State University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June 2018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Certificate of Emergency Medical Services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College of the Desert - Palm Desert, CA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December 2015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Nursing Licenses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RN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Expires: April 2021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State: CA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RN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Expires: April 2020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State: WA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Skills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Registered Nurse (1 year)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Proficient in conversational &amp; medical Spanish (5 years)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RN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Hospital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Staff Nurse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Awards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Nursing Department Honors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2018-06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Dean's List Recipient for 7 quarters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2018-06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Outstanding Undergraduate Student Award Nominee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2018-06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First Place Senior Project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2018-06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Awarded First Place for senior project, “How Many Pokes is too </w:t>
      </w:r>
      <w:proofErr w:type="gramStart"/>
      <w:r w:rsidRPr="00D223AA">
        <w:rPr>
          <w:rFonts w:ascii="Times New Roman" w:hAnsi="Times New Roman" w:cs="Times New Roman"/>
          <w:sz w:val="24"/>
          <w:szCs w:val="24"/>
        </w:rPr>
        <w:t>Many</w:t>
      </w:r>
      <w:proofErr w:type="gramEnd"/>
      <w:r w:rsidRPr="00D223A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D223AA">
        <w:rPr>
          <w:rFonts w:ascii="Times New Roman" w:hAnsi="Times New Roman" w:cs="Times New Roman"/>
          <w:sz w:val="24"/>
          <w:szCs w:val="24"/>
        </w:rPr>
        <w:t>Evidence for a Committed Vascular Access Team.”</w:t>
      </w:r>
      <w:proofErr w:type="gramEnd"/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lastRenderedPageBreak/>
        <w:t>2018 President's Volunteer Service Award, Gold Level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2018-04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For over 1000 group hours of community service.</w:t>
      </w:r>
      <w:proofErr w:type="gramEnd"/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Certifications and Licenses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TNCC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October 2018 to October 2022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Emergency Nursing Association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ENPC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October 2018 to October 2022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Emergency Nursing Association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ACLS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May 2018 to May 2020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American Heart Association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PALS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May 2018 to May 2020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American Heart Association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BLS Provider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October 2019 to October 2021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American Red Cross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April 2018 to February 2020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Registry #E119544, California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Nonviolent Crisis Intervention Training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October 2018 to October 2020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Crisis Prevention Institute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Mandated Reporter Training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February 2019 to Present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Assessments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Nursing Skills: Clinical Judgment — Expert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October 2019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Assessing a patient's condition and implementing the appropriate medical intervention.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Full results: https://share.indeedassessments.com/share_to_profile/339d4141537c849d81a401eff48393beeed53dc074545cb7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Medical Terminology — Expert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October 2019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Understanding and using medical terminology.</w:t>
      </w:r>
      <w:proofErr w:type="gramEnd"/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Full results: https://share.indeedassessments.com/share_to_profile/023f833a43876ab2f2ed1aa9102c43c3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First Aid — Expert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October 2019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223AA">
        <w:rPr>
          <w:rFonts w:ascii="Times New Roman" w:hAnsi="Times New Roman" w:cs="Times New Roman"/>
          <w:sz w:val="24"/>
          <w:szCs w:val="24"/>
        </w:rPr>
        <w:t>Treating common medical emergencies.</w:t>
      </w:r>
      <w:proofErr w:type="gramEnd"/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Full results: https://share.indeedassessments.com/share_to_profile/a018a749dea1a15efb903ba0bbaa940ceed53dc074545cb7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lastRenderedPageBreak/>
        <w:t>Indeed Assessments provides skills tests that are not indicative of a license or certification, or continued development in any professional field.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Additional Information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Volunteer Work: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Neonatal Intensive Care Unit Volunteer, “Baby </w:t>
      </w:r>
      <w:proofErr w:type="spellStart"/>
      <w:r w:rsidRPr="00D223AA">
        <w:rPr>
          <w:rFonts w:ascii="Times New Roman" w:hAnsi="Times New Roman" w:cs="Times New Roman"/>
          <w:sz w:val="24"/>
          <w:szCs w:val="24"/>
        </w:rPr>
        <w:t>Cuddler</w:t>
      </w:r>
      <w:proofErr w:type="spellEnd"/>
      <w:r w:rsidRPr="00D223AA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Desert Regional Medical Center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04/2017 – 03/2018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Activities Coordinator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Coyote Nursing Students of the Desert, CSUSB, Palm Desert Campus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04/2016 – 04/2018 </w:t>
      </w:r>
    </w:p>
    <w:p w:rsidR="00D223AA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 xml:space="preserve">• Recipient of the 2018 President’s Volunteer Service Award, Gold Level, for over 1000 group hours of community service.  </w:t>
      </w:r>
    </w:p>
    <w:p w:rsidR="00545B59" w:rsidRPr="00D223AA" w:rsidRDefault="00D223AA" w:rsidP="00D223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• Coordinated and participated in over two-dozen student volunteer events for over 14 healthcare and community organizations, including California Care Force (2016 - 2018) and Oasis Flying Doctors (2017).</w:t>
      </w:r>
    </w:p>
    <w:sectPr w:rsidR="00545B59" w:rsidRPr="00D223AA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3AA"/>
    <w:rsid w:val="000A1701"/>
    <w:rsid w:val="00186AB1"/>
    <w:rsid w:val="00293CB9"/>
    <w:rsid w:val="0036289E"/>
    <w:rsid w:val="00632B7D"/>
    <w:rsid w:val="006F25E2"/>
    <w:rsid w:val="007A2F19"/>
    <w:rsid w:val="00A527CB"/>
    <w:rsid w:val="00B7373B"/>
    <w:rsid w:val="00BE4280"/>
    <w:rsid w:val="00D223AA"/>
    <w:rsid w:val="00D6480F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3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3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9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0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1961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275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5623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49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202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801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9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48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6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9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043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866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065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5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04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74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35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783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87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76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1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8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25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23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900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467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9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09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889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51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2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22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6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3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6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6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60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3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4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41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380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97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9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7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2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16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7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8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8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996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81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9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7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00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90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02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2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341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863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99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42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2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34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7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27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7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86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099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1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s.indeed.com/resume/ecb1f961d9d39ceb" TargetMode="External"/><Relationship Id="rId4" Type="http://schemas.openxmlformats.org/officeDocument/2006/relationships/hyperlink" Target="mailto:antonia.noel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2019-11-14T07:31:00Z</dcterms:created>
  <dcterms:modified xsi:type="dcterms:W3CDTF">2019-11-14T07:32:00Z</dcterms:modified>
</cp:coreProperties>
</file>