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M</w:t>
      </w:r>
      <w:r w:rsidRPr="00F216F1">
        <w:rPr>
          <w:rFonts w:ascii="Times New Roman" w:hAnsi="Times New Roman" w:cs="Times New Roman"/>
          <w:sz w:val="24"/>
          <w:szCs w:val="24"/>
        </w:rPr>
        <w:t>egan Kilpatrick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253-678-6924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216F1">
          <w:rPr>
            <w:rStyle w:val="Hyperlink"/>
            <w:rFonts w:ascii="Times New Roman" w:hAnsi="Times New Roman" w:cs="Times New Roman"/>
            <w:sz w:val="24"/>
            <w:szCs w:val="24"/>
          </w:rPr>
          <w:t>mckilpatrick@hotmail.com</w:t>
        </w:r>
      </w:hyperlink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16F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https://www.linkedin.com/in/megan-kilpatrick-360b1323/</w:t>
        </w:r>
      </w:hyperlink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ARNP-CS, MSN, AOCNS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Tacoma, Washington, United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Previous positions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Clinical Nurse Educator at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Education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Seattle Pacific University, MSN, Nursing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Background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Summary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Collaborative, engaging, and solutions-focused Advanced Oncology Clinical Nurse Specialist. Passionate about empowering the bedside nurse with the most up-to-date evidence-based practice to improve patient care, recognizing that nursing care is an integral part of the patient experience and a significant opportunity to enhance patient outcomes.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Skilled at collaborating with multidisciplinary teams to streamline processes and improve patient outcomes.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Expertise in chemotherapy/biotherapy administration in the oncology and non-oncology settings, central/peripheral/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intraperitoneal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line care, hazardous drug safety, and nursing quality care.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Experience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Medical-Surgical Clinical Nurse Specialist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CHI Franciscan Health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>4 years)Federal Way, Washington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Clinical Nurse Educator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16F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lastRenderedPageBreak/>
        <w:t>August 2013 – December 2014(1 year 4 months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)Tacoma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6F1">
        <w:rPr>
          <w:rFonts w:ascii="Times New Roman" w:hAnsi="Times New Roman" w:cs="Times New Roman"/>
          <w:sz w:val="24"/>
          <w:szCs w:val="24"/>
        </w:rPr>
        <w:t>Sole oncology educator for clinical staff of a multi-site hospital system covering four hospitals, four cancer center sites, and ambulatory areas.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Coordinated with educators in other clinical specialties for staff training on infection control procedures and safe handling of hazardous waste, including OR, PACU, critical care, and ambulatory areas.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 xml:space="preserve">Responsible for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onboarding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education and continuing competency of RNs on medical-surgical and oncology units.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Collaborated with multidisciplinary colleagues to create and revise policies and procedures related to chemo/biotherapy and hazardous drug administration, handling, and waste; also co-authored policy on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neutropenic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precautions.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Facility representative to Puget Sound Oncology Nursing Education Consortium and presenter at 2014 Fundamentals of Oncology Course.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Quality Control Coordinator for facility ACOS Committee.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Implemented system-wide standards for RN oncology education.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Extensive experience in implementing evidence-based practice into the workplace.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Registered Nurse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16F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April 2007 – August 2014(7 years 4 months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Regional Cancer Center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6F1">
        <w:rPr>
          <w:rFonts w:ascii="Times New Roman" w:hAnsi="Times New Roman" w:cs="Times New Roman"/>
          <w:sz w:val="24"/>
          <w:szCs w:val="24"/>
        </w:rPr>
        <w:t>Outpatient hospital-based chemotherapy clinic in urban setting, part of larger regional cancer center.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Experienced in chemotherapy/biotherapy administration as well as patient education, assessment and care planning, coordination of care with other members of the multidisciplinary team.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Coordinated educational activities for high school students interested in pursuing healthcare careers.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*Chemotherapy/Biotherapy Provider Card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*Radiation Oncology Certificate of Added Qualification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*OCN and CHPN certified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Staff RN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Good Samaritan Hospital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May 2004 – April 2007(2 years 11 months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)Oncology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21-bed dedicated inpatient oncology unit. Responsible for coordination and provision of care to adult oncology patients from initial diagnosis to end-of-life including chemotherapy/biotherapy, blood products, modified telemetry.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Proficient in care of multiple types of central lines (including port-a-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caths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hickman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groshong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catheters, and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pheresis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catheters.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Management of high-risk outpatients.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Coordination of care for patients undergoing inpatient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pheresis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, and patients both pre- and post- BM/SC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transplant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. 2 years as Charge RN, 1 year as staffing coordinator for unit. </w:t>
      </w:r>
      <w:proofErr w:type="spellStart"/>
      <w:proofErr w:type="gramStart"/>
      <w:r w:rsidRPr="00F216F1">
        <w:rPr>
          <w:rFonts w:ascii="Times New Roman" w:hAnsi="Times New Roman" w:cs="Times New Roman"/>
          <w:sz w:val="24"/>
          <w:szCs w:val="24"/>
        </w:rPr>
        <w:t>Precepted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new grad RN.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Education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MSN, Nursing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2010 – 2013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Masters of Science in Nursing with Clinical Nurse Specialist track and palliative care/oncology focus.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Completed primary research in registered nurses' perceptions of caring for patients who are dying.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500 hours of clinical internship completed in inpatient and outpatient oncology facilities.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Sigma Theta Tau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lastRenderedPageBreak/>
        <w:t>Pacific Lutheran University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BSN, Nursing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2000 – 2004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Pacific Lutheran University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6F1">
        <w:rPr>
          <w:rFonts w:ascii="Times New Roman" w:hAnsi="Times New Roman" w:cs="Times New Roman"/>
          <w:sz w:val="24"/>
          <w:szCs w:val="24"/>
        </w:rPr>
        <w:t>Bachelors of Science in Nursing.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Clinical experiences in pediatric, adult, community, mental health, labor and delivery, and oncology settings.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Clinical settings included both military and civilian sites.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Capstone experience in inpatient oncology acute care setting.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School of Nursing, University Congregation, Track and Field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Selah High School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Diploma, General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1996 – 2000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Epic Systems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Church Events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Oncology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Healthcare Management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Nursing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BLS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Patient Safety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Nursing Education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Registered Nurses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Palliative Care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Evidence Based Practice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Acute Care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Hazardous Drugs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Clinical Research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Telemetry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Ambulatory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Inpatient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Patient Education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Oncology Nursing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EMR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Healthcare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Advance Planning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Beacon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Medical-Surgical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Honors &amp; Awards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Judy Lentz Scholarship for the Advancement of Palliative Care in Oncology Nursing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Hospice and Palliative Nurses Association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April 2013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6F1">
        <w:rPr>
          <w:rFonts w:ascii="Times New Roman" w:hAnsi="Times New Roman" w:cs="Times New Roman"/>
          <w:sz w:val="24"/>
          <w:szCs w:val="24"/>
        </w:rPr>
        <w:t>Inaugural award winner, one given nationally.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Award consisted of one HPNA/AAHPM Annual Assembly registration, plus $1200 stipend to cover travel and lodging costs.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Given to an oncology nurse interested in integrating palliative care further into the oncology setting.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United Methodist Association of Communicators Excellence in Writing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lastRenderedPageBreak/>
        <w:t>United Methodist Communications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May 2008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6F1">
        <w:rPr>
          <w:rFonts w:ascii="Times New Roman" w:hAnsi="Times New Roman" w:cs="Times New Roman"/>
          <w:sz w:val="24"/>
          <w:szCs w:val="24"/>
        </w:rPr>
        <w:t>Yearly awards given to writers/contributors/illustrators to United Methodist publications, newsletters, and other media.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National award.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Roberta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Scofield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Certification Scholarship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Oncology Nursing Society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June 2006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One free certification registration awarded to nurses demonstrating excellence in oncology nursing.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50 given annually.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Roberta </w:t>
      </w:r>
      <w:proofErr w:type="spellStart"/>
      <w:r w:rsidRPr="00F216F1">
        <w:rPr>
          <w:rFonts w:ascii="Times New Roman" w:hAnsi="Times New Roman" w:cs="Times New Roman"/>
          <w:sz w:val="24"/>
          <w:szCs w:val="24"/>
        </w:rPr>
        <w:t>Scofield</w:t>
      </w:r>
      <w:proofErr w:type="spellEnd"/>
      <w:r w:rsidRPr="00F216F1">
        <w:rPr>
          <w:rFonts w:ascii="Times New Roman" w:hAnsi="Times New Roman" w:cs="Times New Roman"/>
          <w:sz w:val="24"/>
          <w:szCs w:val="24"/>
        </w:rPr>
        <w:t xml:space="preserve"> Certification Scholarship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Oncology Nursing Society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June 2010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One free certification registration awarded to nurses demonstrating excellence in oncology nursing.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50 given annually.</w:t>
      </w:r>
      <w:proofErr w:type="gramEnd"/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Organizations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Oncology Nursing Society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June 2004 – Present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Puget Sound Oncology Nursing Society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June 2004 – Present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United Methodist Pacific Northwest Conference Board of Laity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Conference Communicator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July 2010 – Present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Sigma Theta Tau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July 2013 – Present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Conference Council on Young Adult Ministries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Pacific Northwest Conference United Methodist Church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July 2006 – June 2014(7 years 11 months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)Civil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 xml:space="preserve"> Rights and Social Action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Conference Communicator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Pacific Northwest Conference United Methodist Church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>4 years 9 months)Civil Rights and Social Action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Secretary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Pacific Lutheran University School of Nursing Alumni Board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 xml:space="preserve">May 2013 – </w:t>
      </w:r>
      <w:proofErr w:type="gramStart"/>
      <w:r w:rsidRPr="00F216F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16F1">
        <w:rPr>
          <w:rFonts w:ascii="Times New Roman" w:hAnsi="Times New Roman" w:cs="Times New Roman"/>
          <w:sz w:val="24"/>
          <w:szCs w:val="24"/>
        </w:rPr>
        <w:t>6 years 6 months)Health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Causes Megan cares about: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Arts and Culture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Children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Environment</w:t>
      </w:r>
    </w:p>
    <w:p w:rsidR="00F216F1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Health</w:t>
      </w:r>
    </w:p>
    <w:p w:rsidR="00000D08" w:rsidRPr="00F216F1" w:rsidRDefault="00F216F1" w:rsidP="00F216F1">
      <w:pPr>
        <w:rPr>
          <w:rFonts w:ascii="Times New Roman" w:hAnsi="Times New Roman" w:cs="Times New Roman"/>
          <w:sz w:val="24"/>
          <w:szCs w:val="24"/>
        </w:rPr>
      </w:pPr>
      <w:r w:rsidRPr="00F216F1">
        <w:rPr>
          <w:rFonts w:ascii="Times New Roman" w:hAnsi="Times New Roman" w:cs="Times New Roman"/>
          <w:sz w:val="24"/>
          <w:szCs w:val="24"/>
        </w:rPr>
        <w:t>Social Services</w:t>
      </w:r>
    </w:p>
    <w:sectPr w:rsidR="00000D08" w:rsidRPr="00F216F1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6F1"/>
    <w:rsid w:val="00000D08"/>
    <w:rsid w:val="00F2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gan-kilpatrick-360b1323/" TargetMode="External"/><Relationship Id="rId4" Type="http://schemas.openxmlformats.org/officeDocument/2006/relationships/hyperlink" Target="mailto:mckilpatric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2019-11-15T10:22:00Z</dcterms:created>
  <dcterms:modified xsi:type="dcterms:W3CDTF">2019-11-15T10:24:00Z</dcterms:modified>
</cp:coreProperties>
</file>