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                                  Amber Wasson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111 N 9th Ave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Donahue, IA 52746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(480) 290-9574 Cell phone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Amberwasson01@gmail.com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Licensed Practical Nurse  LP051402</w:t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59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trHeight w:val="2727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120" w:before="6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Practical Nursing - Diploma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Fortis College, Phoenix, AZ                                                                                    September, 2015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Dean’s List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Clinical Excellence Award 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-28574</wp:posOffset>
                      </wp:positionH>
                      <wp:positionV relativeFrom="paragraph">
                        <wp:posOffset>135890</wp:posOffset>
                      </wp:positionV>
                      <wp:extent cx="5581650" cy="9525"/>
                      <wp:effectExtent b="28575" l="0" r="1905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-28574</wp:posOffset>
                      </wp:positionH>
                      <wp:positionV relativeFrom="paragraph">
                        <wp:posOffset>135890</wp:posOffset>
                      </wp:positionV>
                      <wp:extent cx="5600700" cy="38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Insurance Review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Skilled Nursing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Nasogastric Care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IV’s/PICC Line Dressing Changes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 insertion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and Administration of Medications IM, Sub-Q, Oral, IV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Wound Assesment and Care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Ventilator Care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Peg Tube Care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ICD- 10 and ICD -9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PCC Super-user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Education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  <w:tab w:val="right" w:pos="-12412"/>
              </w:tabs>
              <w:spacing w:after="12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Chart review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59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Educational/Clinical Experience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Horizon Post Acue, Glendale AZ: Med-Surg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St.Lukes Hospital, Tempe, AZ: Med-Surg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St.Lukes Behavioral Hospital, Phoenix, AZ: Mental Health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Sun Grove Nursing Facility, Peoria, AZ: Geriatrics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Hacendia, Phoenix, AZ: Pediatrics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Kirkwood Community College, Cedar Rapids, IA: General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Illinois Central College, Peoria, IL: CNA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40.0" w:type="dxa"/>
              <w:jc w:val="left"/>
              <w:tblLayout w:type="fixed"/>
              <w:tblLook w:val="0000"/>
            </w:tblPr>
            <w:tblGrid>
              <w:gridCol w:w="8640"/>
              <w:tblGridChange w:id="0">
                <w:tblGrid>
                  <w:gridCol w:w="864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AwARDS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Patient Satisfaction Award</w:t>
                  </w:r>
                </w:p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Patient Exallence  Award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59" w:lineRule="auto"/>
                    <w:ind w:left="0" w:right="0" w:firstLine="0"/>
                    <w:jc w:val="left"/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Black" w:cs="Arial Black" w:eastAsia="Arial Black" w:hAnsi="Arial Black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Certifications/Credentials</w:t>
                  </w:r>
                </w:p>
              </w:tc>
            </w:tr>
            <w:tr>
              <w:trPr>
                <w:trHeight w:val="720" w:hRule="atLeast"/>
              </w:trPr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108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Board Examination License, State of Arizona-Compact License                                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108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CPR Certified (AHA) Healthcare Provider Certified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108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State of Arizona DPS Fingerprint Clearance Card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108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IV Ceritifed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59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Employment History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  Sun West Choice Rehab, Sun City West,Az- LPN Nursing Manager    8/18- current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Horizon Post Acute Rehab Center Phoenix, AZ- LPN                      10/2015- Currently Prn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Brookdale Senior Living- Peoria, AZ- LPN                                  11/2015- currently prn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Accountable Healthcare Staffing, Phoenix, AZ: CNA                          01/2013-08/2014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Select Medical Hospital, Scottsdale, AZ: CNA</w:t>
              <w:tab/>
              <w:tab/>
              <w:t xml:space="preserve">           08/2013-07/2014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2" w:hRule="atLeast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800" w:right="180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  <w:tab/>
    </w:r>
    <w:r w:rsidDel="00000000" w:rsidR="00000000" w:rsidRPr="00000000">
      <w:rPr>
        <w:b w:val="1"/>
        <w:sz w:val="21"/>
        <w:szCs w:val="2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11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119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