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.xml" ContentType="application/vnd.ms-office.intelligenc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DCE941F" w:rsidP="07C0ABF8" w:rsidRDefault="1DCE941F" w14:paraId="26CB1FDF" w14:textId="08759A22">
      <w:pPr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6"/>
          <w:szCs w:val="26"/>
          <w:lang w:val="en-US"/>
        </w:rPr>
      </w:pPr>
      <w:proofErr w:type="spellStart"/>
      <w:r w:rsidRPr="07C0ABF8" w:rsidR="07C0ABF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6"/>
          <w:szCs w:val="26"/>
          <w:lang w:val="en-US"/>
        </w:rPr>
        <w:t>Jabreauna</w:t>
      </w:r>
      <w:proofErr w:type="spellEnd"/>
      <w:r w:rsidRPr="07C0ABF8" w:rsidR="07C0ABF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6"/>
          <w:szCs w:val="26"/>
          <w:lang w:val="en-US"/>
        </w:rPr>
        <w:t xml:space="preserve"> Lawrence-Thomas</w:t>
      </w:r>
    </w:p>
    <w:p w:rsidR="07C0ABF8" w:rsidP="02A09B58" w:rsidRDefault="07C0ABF8" w14:paraId="29FC74EB" w14:textId="014EE62F">
      <w:pPr>
        <w:jc w:val="center"/>
        <w:rPr>
          <w:noProof w:val="0"/>
          <w:sz w:val="18"/>
          <w:szCs w:val="18"/>
          <w:lang w:val="en-US"/>
        </w:rPr>
      </w:pPr>
      <w:r w:rsidRPr="02A09B58" w:rsidR="02A09B5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1309 Napa Point East Antioch, TN (615) 295-3719 </w:t>
      </w:r>
      <w:hyperlink r:id="Rb0abb61c14ca4153">
        <w:r w:rsidRPr="02A09B58" w:rsidR="02A09B58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18"/>
            <w:szCs w:val="18"/>
            <w:lang w:val="en-US"/>
          </w:rPr>
          <w:t>lawrence.brea@outlook.com</w:t>
        </w:r>
      </w:hyperlink>
    </w:p>
    <w:p w:rsidR="02A09B58" w:rsidP="02A09B58" w:rsidRDefault="02A09B58" w14:paraId="3F31612A" w14:textId="31904F2A">
      <w:pPr>
        <w:pStyle w:val="Normal"/>
        <w:jc w:val="center"/>
        <w:rPr>
          <w:rFonts w:ascii="Calibri" w:hAnsi="Calibri" w:eastAsia="Calibri" w:cs="Calibri"/>
          <w:strike w:val="0"/>
          <w:dstrike w:val="0"/>
          <w:noProof w:val="0"/>
          <w:sz w:val="18"/>
          <w:szCs w:val="18"/>
          <w:lang w:val="en-US"/>
        </w:rPr>
      </w:pPr>
    </w:p>
    <w:p w:rsidR="1DCE941F" w:rsidP="07C0ABF8" w:rsidRDefault="1DCE941F" w14:paraId="1BBAA99D" w14:textId="1D811E0E">
      <w:pPr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</w:pPr>
      <w:r w:rsidRPr="07C0ABF8" w:rsidR="07C0ABF8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SKILL SUMMARY</w:t>
      </w:r>
    </w:p>
    <w:p w:rsidR="1DCE941F" w:rsidP="1DCE941F" w:rsidRDefault="1DCE941F" w14:paraId="00010EB1" w14:textId="618D5F06">
      <w:pPr>
        <w:jc w:val="center"/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Multi-disciplined professional with over a year of experience in the management of clients in a 24-bed Telemetry Stepdown/PCU setting. Certifications: ACLS, BLS, NIHSS</w:t>
      </w:r>
    </w:p>
    <w:p w:rsidR="1DCE941F" w:rsidP="1DCE941F" w:rsidRDefault="1DCE941F" w14:paraId="300C6164" w14:textId="5AF4FFDB">
      <w:pPr>
        <w:pStyle w:val="Normal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1DCE941F" w:rsidP="07C0ABF8" w:rsidRDefault="1DCE941F" w14:paraId="69299C60" w14:textId="6855533C">
      <w:pPr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</w:pPr>
      <w:r w:rsidRPr="07C0ABF8" w:rsidR="07C0ABF8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PROFESSIONAL EXPERIENCE</w:t>
      </w:r>
    </w:p>
    <w:p w:rsidR="1DCE941F" w:rsidRDefault="1DCE941F" w14:paraId="5C34BC69" w14:textId="2CD1FFD4">
      <w:r w:rsidRPr="1DCE941F" w:rsidR="1DCE941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18"/>
          <w:szCs w:val="18"/>
          <w:lang w:val="en-US"/>
        </w:rPr>
        <w:t>Ascension Saint Thomas West Hospital, Nashville, TN</w:t>
      </w:r>
      <w:r>
        <w:tab/>
      </w:r>
      <w:r>
        <w:tab/>
      </w:r>
      <w:r>
        <w:tab/>
      </w:r>
      <w:r>
        <w:tab/>
      </w:r>
      <w:r>
        <w:tab/>
      </w:r>
      <w:r w:rsidRPr="1DCE941F" w:rsidR="1DCE941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18"/>
          <w:szCs w:val="18"/>
          <w:lang w:val="en-US"/>
        </w:rPr>
        <w:t xml:space="preserve"> October 2020– present</w:t>
      </w:r>
    </w:p>
    <w:p w:rsidR="1DCE941F" w:rsidRDefault="1DCE941F" w14:paraId="3BF273AB" w14:textId="77745942">
      <w:r w:rsidRPr="1DCE941F" w:rsidR="1DCE941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 xml:space="preserve">Fall 2020 Nurse Residency Cohort Telemetry Nurse </w:t>
      </w:r>
    </w:p>
    <w:p w:rsidR="1DCE941F" w:rsidP="1DCE941F" w:rsidRDefault="1DCE941F" w14:paraId="72E99107" w14:textId="7CEEB34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Manages care for acute and chronic cardiovascular needs such as atrial fibrillation, angina, myocardial infarction, and heart failure with a nurse-patient ratio of 1:4-</w:t>
      </w: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6.</w:t>
      </w:r>
    </w:p>
    <w:p w:rsidR="1DCE941F" w:rsidP="1DCE941F" w:rsidRDefault="1DCE941F" w14:paraId="500906B8" w14:textId="7FF2DA0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Identifies EKG and telemetry readings to properly notify multidisciplinary teams as needed.</w:t>
      </w:r>
    </w:p>
    <w:p w:rsidR="1DCE941F" w:rsidP="1DCE941F" w:rsidRDefault="1DCE941F" w14:paraId="668673B4" w14:textId="5CF090D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Obtains and evaluates </w:t>
      </w: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arterial</w:t>
      </w: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 blood gasses and communicate critical results to cardiologists.</w:t>
      </w:r>
    </w:p>
    <w:p w:rsidR="1DCE941F" w:rsidP="1DCE941F" w:rsidRDefault="1DCE941F" w14:paraId="7DC2B604" w14:textId="11CBEE4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Responsible for titration and management of various drips such as amiodarone, diltiazem, milrinone, dopamine, nitroglycerin, furosemide, insulin, blood transfusions, and heparin.</w:t>
      </w:r>
    </w:p>
    <w:p w:rsidR="1DCE941F" w:rsidP="1DCE941F" w:rsidRDefault="1DCE941F" w14:paraId="76CE4CC3" w14:textId="1DAFC6D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Holds certifications to assess and </w:t>
      </w: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monitor</w:t>
      </w: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 left ventricular assistive devices.</w:t>
      </w:r>
    </w:p>
    <w:p w:rsidR="1DCE941F" w:rsidP="1DCE941F" w:rsidRDefault="1DCE941F" w14:paraId="28C159B9" w14:textId="78C35F4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Central telemetry monitoring room and Dash equipment experience.</w:t>
      </w:r>
    </w:p>
    <w:p w:rsidR="1DCE941F" w:rsidP="1DCE941F" w:rsidRDefault="1DCE941F" w14:paraId="1B298351" w14:textId="659C2B1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Cares for pacemakers, wound vacs and chest tubes under doctor orders.</w:t>
      </w:r>
    </w:p>
    <w:p w:rsidR="1DCE941F" w:rsidP="1DCE941F" w:rsidRDefault="1DCE941F" w14:paraId="372AEB3A" w14:textId="5A255FA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Experience in admitting and discharging patients in a timely manner with accuracy and thoroughness.</w:t>
      </w:r>
    </w:p>
    <w:p w:rsidR="1DCE941F" w:rsidP="1DCE941F" w:rsidRDefault="1DCE941F" w14:paraId="66492B44" w14:textId="4609E26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Set up, operate, or monitor invasive equipment and devices such as colostomy, nasogastric tubes, or tracheotomy equipment, chest tubes, various drains, catheters, gastrointestinal tubes, and central lines. </w:t>
      </w:r>
    </w:p>
    <w:p w:rsidR="1DCE941F" w:rsidP="1DCE941F" w:rsidRDefault="1DCE941F" w14:paraId="6457517C" w14:textId="380E4B0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Provided concise documentation by operating Cerner PowerChart Electronic Medical Record.</w:t>
      </w:r>
    </w:p>
    <w:p w:rsidR="1DCE941F" w:rsidP="1DCE941F" w:rsidRDefault="1DCE941F" w14:paraId="64732F1C" w14:textId="3874B1D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Provided training to new staff on organizational and program-specific policies and procedures. </w:t>
      </w:r>
    </w:p>
    <w:p w:rsidR="1DCE941F" w:rsidP="1DCE941F" w:rsidRDefault="1DCE941F" w14:paraId="61F089B4" w14:textId="26961D4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Educated families and patients on treatment strategies and at-home care. </w:t>
      </w:r>
    </w:p>
    <w:p w:rsidR="1DCE941F" w:rsidRDefault="1DCE941F" w14:paraId="4FF96ABC" w14:textId="0B666EDF">
      <w:r w:rsidRPr="1DCE941F" w:rsidR="1DCE941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18"/>
          <w:szCs w:val="18"/>
          <w:lang w:val="en-US"/>
        </w:rPr>
        <w:t>Ascension Saint Thomas Rutherford Hospital, Murfreesboro</w:t>
      </w:r>
      <w:r>
        <w:tab/>
      </w:r>
      <w:r>
        <w:tab/>
      </w:r>
      <w:r>
        <w:tab/>
      </w:r>
      <w:r w:rsidRPr="1DCE941F" w:rsidR="1DCE941F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18"/>
          <w:szCs w:val="18"/>
          <w:lang w:val="en-US"/>
        </w:rPr>
        <w:t>August 2020– October 2020</w:t>
      </w:r>
    </w:p>
    <w:p w:rsidR="1DCE941F" w:rsidRDefault="1DCE941F" w14:paraId="0DE1087E" w14:textId="50A19411">
      <w:r w:rsidRPr="1DCE941F" w:rsidR="1DCE941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8"/>
          <w:szCs w:val="18"/>
          <w:lang w:val="en-US"/>
        </w:rPr>
        <w:t xml:space="preserve">COVID-19 Surgical Clinic Associate  </w:t>
      </w:r>
    </w:p>
    <w:p w:rsidR="1DCE941F" w:rsidP="1DCE941F" w:rsidRDefault="1DCE941F" w14:paraId="6A46CF83" w14:textId="167FF38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Schedule patient appointments, tests, procedures, and handle calendars for surgical procedures.</w:t>
      </w:r>
      <w:r>
        <w:br/>
      </w: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 Performs routine health screening tests at hospital entrance and coronavirus nasopharyngeal swabs for surgical preparation in a clinical setting.  </w:t>
      </w:r>
    </w:p>
    <w:p w:rsidR="1DCE941F" w:rsidP="1DCE941F" w:rsidRDefault="1DCE941F" w14:paraId="01186DEF" w14:textId="23E16FA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Greet visitors, ascertain purpose of visit, and direct them to appropriate staff. </w:t>
      </w:r>
    </w:p>
    <w:p w:rsidR="1DCE941F" w:rsidP="1DCE941F" w:rsidRDefault="1DCE941F" w14:paraId="1A612364" w14:textId="6E23EF3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1DCE941F" w:rsidR="1DCE941F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Answer telephones and direct calls to appropriate staff. </w:t>
      </w:r>
    </w:p>
    <w:p w:rsidR="02A09B58" w:rsidP="02A09B58" w:rsidRDefault="02A09B58" w14:paraId="5A4BA371" w14:textId="1F555174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02A09B58" w:rsidR="02A09B58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18"/>
          <w:szCs w:val="18"/>
          <w:lang w:val="en-US"/>
        </w:rPr>
        <w:t>Provide information about establishment, such as location of departments or offices, employees within the organization, or services provided.</w:t>
      </w:r>
    </w:p>
    <w:p w:rsidR="02A09B58" w:rsidP="02A09B58" w:rsidRDefault="02A09B58" w14:paraId="1761B6C3" w14:textId="73C27622">
      <w:pPr>
        <w:ind w:firstLine="0"/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</w:pPr>
    </w:p>
    <w:p w:rsidR="1DCE941F" w:rsidP="07C0ABF8" w:rsidRDefault="1DCE941F" w14:paraId="39454469" w14:textId="65A6117E">
      <w:pPr>
        <w:ind w:firstLine="0"/>
        <w:jc w:val="center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</w:pPr>
      <w:r w:rsidRPr="07C0ABF8" w:rsidR="07C0ABF8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n-US"/>
        </w:rPr>
        <w:t>EDUCATION</w:t>
      </w:r>
    </w:p>
    <w:p w:rsidR="1DCE941F" w:rsidP="1DCE941F" w:rsidRDefault="1DCE941F" w14:paraId="0B413231" w14:textId="7AB016D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</w:pP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Bachelor of Science in </w:t>
      </w: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>Nursing, Tennessee</w:t>
      </w:r>
      <w:r w:rsidRPr="07C0ABF8" w:rsidR="07C0ABF8">
        <w:rPr>
          <w:rFonts w:ascii="Calibri" w:hAnsi="Calibri" w:eastAsia="Calibri" w:cs="Calibri"/>
          <w:noProof w:val="0"/>
          <w:color w:val="000000" w:themeColor="text1" w:themeTint="FF" w:themeShade="FF"/>
          <w:sz w:val="18"/>
          <w:szCs w:val="18"/>
          <w:lang w:val="en-US"/>
        </w:rPr>
        <w:t xml:space="preserve"> State University - Nashville, TN</w:t>
      </w:r>
    </w:p>
    <w:p w:rsidR="1DCE941F" w:rsidP="1DCE941F" w:rsidRDefault="1DCE941F" w14:paraId="3A1D7D2A" w14:textId="3A194BA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de2e892d9a74339"/>
      <w:footerReference w:type="default" r:id="Rbfa5493b1ccd459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A09B58" w:rsidTr="02A09B58" w14:paraId="5E01A1BC">
      <w:tc>
        <w:tcPr>
          <w:tcW w:w="3120" w:type="dxa"/>
          <w:tcMar/>
        </w:tcPr>
        <w:p w:rsidR="02A09B58" w:rsidP="02A09B58" w:rsidRDefault="02A09B58" w14:paraId="1E61EB3F" w14:textId="45EBDC8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A09B58" w:rsidP="02A09B58" w:rsidRDefault="02A09B58" w14:paraId="5770EDBC" w14:textId="1FF8ADA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A09B58" w:rsidP="02A09B58" w:rsidRDefault="02A09B58" w14:paraId="08D3069E" w14:textId="45C9301A">
          <w:pPr>
            <w:pStyle w:val="Header"/>
            <w:bidi w:val="0"/>
            <w:ind w:right="-115"/>
            <w:jc w:val="right"/>
          </w:pPr>
        </w:p>
      </w:tc>
    </w:tr>
  </w:tbl>
  <w:p w:rsidR="02A09B58" w:rsidP="02A09B58" w:rsidRDefault="02A09B58" w14:paraId="0E4216C3" w14:textId="00270FE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A09B58" w:rsidTr="02A09B58" w14:paraId="794928D1">
      <w:tc>
        <w:tcPr>
          <w:tcW w:w="3120" w:type="dxa"/>
          <w:tcMar/>
        </w:tcPr>
        <w:p w:rsidR="02A09B58" w:rsidP="02A09B58" w:rsidRDefault="02A09B58" w14:paraId="1DCBEED0" w14:textId="5ED2DAC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A09B58" w:rsidP="02A09B58" w:rsidRDefault="02A09B58" w14:paraId="294190E7" w14:textId="7F595ED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A09B58" w:rsidP="02A09B58" w:rsidRDefault="02A09B58" w14:paraId="4AAD3943" w14:textId="57AE5F6E">
          <w:pPr>
            <w:pStyle w:val="Header"/>
            <w:bidi w:val="0"/>
            <w:ind w:right="-115"/>
            <w:jc w:val="right"/>
          </w:pPr>
        </w:p>
      </w:tc>
    </w:tr>
  </w:tbl>
  <w:p w:rsidR="02A09B58" w:rsidP="02A09B58" w:rsidRDefault="02A09B58" w14:paraId="7A1D2A98" w14:textId="187B56DB">
    <w:pPr>
      <w:pStyle w:val="Header"/>
      <w:bidi w:val="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AxYoMs/W0dp39" id="r9mWOCS4"/>
    <int:WordHash hashCode="yeEmFYBxoSHvNc" id="HTLwiLz9"/>
  </int:Manifest>
  <int:Observations>
    <int:Content id="r9mWOCS4">
      <int:Rejection type="LegacyProofing"/>
    </int:Content>
    <int:Content id="HTLwiLz9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ED971A"/>
    <w:rsid w:val="02A09B58"/>
    <w:rsid w:val="07C0ABF8"/>
    <w:rsid w:val="1DCE941F"/>
    <w:rsid w:val="26ED971A"/>
    <w:rsid w:val="38D6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F610"/>
  <w15:chartTrackingRefBased/>
  <w15:docId w15:val="{1F17EBD4-E3BD-4EB1-BA40-2AE0E9D867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16c46bc57154ee1" /><Relationship Type="http://schemas.microsoft.com/office/2019/09/relationships/intelligence" Target="/word/intelligence.xml" Id="R3af1fddba8d7437f" /><Relationship Type="http://schemas.openxmlformats.org/officeDocument/2006/relationships/hyperlink" Target="mailto:lawrence.brea@outlook.com" TargetMode="External" Id="Rb0abb61c14ca4153" /><Relationship Type="http://schemas.openxmlformats.org/officeDocument/2006/relationships/header" Target="/word/header.xml" Id="R7de2e892d9a74339" /><Relationship Type="http://schemas.openxmlformats.org/officeDocument/2006/relationships/footer" Target="/word/footer.xml" Id="Rbfa5493b1ccd45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2021-11-16T15:30:33.9364604Z</dcterms:created>
  <dcterms:modified xsi:type="dcterms:W3CDTF">2021-11-16T16:04:20.4903613Z</dcterms:modified>
  <dc:creator>Brea Lawrence</dc:creator>
  <lastModifiedBy>Brea Lawrence</lastModifiedBy>
</coreProperties>
</file>